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640" w:lineRule="exact"/>
        <w:jc w:val="center"/>
        <w:rPr>
          <w:rFonts w:hint="eastAsia" w:ascii="宋体" w:hAnsi="宋体" w:cs="宋体"/>
          <w:b/>
          <w:sz w:val="44"/>
          <w:szCs w:val="44"/>
        </w:rPr>
      </w:pPr>
      <w:r>
        <w:rPr>
          <w:rFonts w:hint="eastAsia" w:ascii="宋体" w:hAnsi="宋体" w:cs="宋体"/>
          <w:b/>
          <w:sz w:val="44"/>
          <w:szCs w:val="44"/>
        </w:rPr>
        <w:t>三门峡市120急救指挥中心</w:t>
      </w:r>
    </w:p>
    <w:p>
      <w:pPr>
        <w:spacing w:beforeLines="0" w:afterLines="0" w:line="640" w:lineRule="exact"/>
        <w:jc w:val="center"/>
        <w:rPr>
          <w:rFonts w:hint="eastAsia" w:ascii="宋体" w:hAnsi="宋体" w:cs="宋体"/>
          <w:b/>
          <w:sz w:val="44"/>
          <w:szCs w:val="44"/>
        </w:rPr>
      </w:pPr>
      <w:r>
        <w:rPr>
          <w:rFonts w:hint="eastAsia" w:ascii="宋体" w:hAnsi="宋体" w:cs="宋体"/>
          <w:b/>
          <w:sz w:val="44"/>
          <w:szCs w:val="44"/>
        </w:rPr>
        <w:t>转移支付2021年度绩效自评报告</w:t>
      </w:r>
    </w:p>
    <w:p>
      <w:pPr>
        <w:spacing w:beforeLines="0" w:afterLines="0" w:line="640" w:lineRule="exact"/>
        <w:jc w:val="center"/>
        <w:rPr>
          <w:rFonts w:hint="eastAsia" w:ascii="宋体" w:hAnsi="宋体" w:cs="宋体"/>
          <w:b/>
          <w:sz w:val="44"/>
          <w:szCs w:val="44"/>
        </w:rPr>
      </w:pPr>
    </w:p>
    <w:p>
      <w:pPr>
        <w:numPr>
          <w:ilvl w:val="0"/>
          <w:numId w:val="1"/>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绩效目标分解下达情况</w:t>
      </w:r>
    </w:p>
    <w:p>
      <w:pPr>
        <w:numPr>
          <w:ilvl w:val="0"/>
          <w:numId w:val="0"/>
        </w:numPr>
        <w:spacing w:beforeLines="0" w:afterLines="0" w:line="640" w:lineRule="exact"/>
        <w:rPr>
          <w:rFonts w:hint="eastAsia" w:ascii="仿宋" w:hAnsi="仿宋" w:eastAsia="仿宋" w:cs="仿宋"/>
          <w:sz w:val="32"/>
          <w:szCs w:val="32"/>
        </w:rPr>
      </w:pPr>
      <w:r>
        <w:rPr>
          <w:rFonts w:hint="eastAsia" w:ascii="Times New Roman" w:hAnsi="Times New Roman" w:eastAsia="黑体"/>
          <w:sz w:val="32"/>
          <w:szCs w:val="32"/>
        </w:rPr>
        <w:t xml:space="preserve">    </w:t>
      </w:r>
      <w:r>
        <w:rPr>
          <w:rFonts w:hint="eastAsia" w:ascii="仿宋" w:hAnsi="仿宋" w:eastAsia="仿宋" w:cs="仿宋"/>
          <w:sz w:val="32"/>
          <w:szCs w:val="32"/>
        </w:rPr>
        <w:t>2021年收到基本公共卫生服务省级补助资金分配资金10万元整，用于应急处置（院前急救能力建设）。</w:t>
      </w:r>
    </w:p>
    <w:p>
      <w:pPr>
        <w:numPr>
          <w:ilvl w:val="0"/>
          <w:numId w:val="1"/>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绩效目标实现情况分析</w:t>
      </w:r>
    </w:p>
    <w:p>
      <w:pPr>
        <w:numPr>
          <w:ilvl w:val="0"/>
          <w:numId w:val="2"/>
        </w:numPr>
        <w:spacing w:beforeLines="0" w:afterLines="0" w:line="640" w:lineRule="exact"/>
        <w:rPr>
          <w:rFonts w:hint="eastAsia" w:ascii="Times New Roman" w:hAnsi="Times New Roman" w:eastAsia="黑体"/>
          <w:sz w:val="32"/>
          <w:szCs w:val="32"/>
        </w:rPr>
      </w:pPr>
      <w:r>
        <w:rPr>
          <w:rFonts w:hint="eastAsia" w:ascii="Times New Roman" w:hAnsi="Times New Roman" w:eastAsia="黑体"/>
          <w:sz w:val="32"/>
          <w:szCs w:val="32"/>
        </w:rPr>
        <w:t>资金投入情况分析</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1、项目资金到位情况分析</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资金到位情况及时，当年4月6日收到补助资金文件通知，于当月项目资金10万元全额进入急救指挥中心账户。</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2、项目资金执行情况分析</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资金按照应急处置（院前急救能力建设）的业务工作范围，近5万元用于三门峡市市区、各县（市、区）院前急救管理人员的ITLS和AHA培训导师费、学费。3万元用于院前急救应急处置调度系统位置定位服务费用，其他2万元用于院前急救能力外出学习差旅费用及ITLS和AHA培训相关的用品事项。</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3、项目资金管理情况分析</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资金管理按照资金的使用用途，紧紧围绕培训及培训相关的费用进行支付，在项目资金启用前对将要开展的项目进行项目事前培训绩效目标评价，项目进展中重点管理资金的支付情况及支出资金产生的各项效益指标（培训的人数、效果、满意度）情况，分析项目资金是否能按照既定目标完成支付进度，经过事前、事中的各项培训目标管理，项目资金在年底支付进度达100%，资金管理情况良好。</w:t>
      </w:r>
    </w:p>
    <w:p>
      <w:pPr>
        <w:numPr>
          <w:ilvl w:val="0"/>
          <w:numId w:val="2"/>
        </w:numPr>
        <w:spacing w:beforeLines="0" w:afterLines="0" w:line="640" w:lineRule="exact"/>
        <w:rPr>
          <w:rFonts w:hint="eastAsia" w:ascii="Times New Roman" w:hAnsi="Times New Roman" w:eastAsia="Times New Roman"/>
          <w:sz w:val="32"/>
          <w:szCs w:val="32"/>
        </w:rPr>
      </w:pPr>
      <w:r>
        <w:rPr>
          <w:rFonts w:hint="eastAsia" w:ascii="Times New Roman" w:hAnsi="Times New Roman" w:eastAsia="黑体"/>
          <w:sz w:val="32"/>
          <w:szCs w:val="32"/>
        </w:rPr>
        <w:t>总体绩效目标完成情况分析</w:t>
      </w:r>
    </w:p>
    <w:p>
      <w:pPr>
        <w:numPr>
          <w:ilvl w:val="0"/>
          <w:numId w:val="0"/>
        </w:numPr>
        <w:spacing w:beforeLines="0" w:afterLines="0" w:line="640" w:lineRule="exact"/>
        <w:rPr>
          <w:rFonts w:hint="eastAsia" w:ascii="仿宋" w:hAnsi="仿宋" w:eastAsia="仿宋" w:cs="仿宋"/>
          <w:sz w:val="32"/>
          <w:szCs w:val="32"/>
        </w:rPr>
      </w:pPr>
      <w:r>
        <w:rPr>
          <w:rFonts w:hint="eastAsia" w:ascii="Times New Roman" w:hAnsi="Times New Roman" w:eastAsia="黑体"/>
          <w:sz w:val="32"/>
          <w:szCs w:val="32"/>
        </w:rPr>
        <w:t xml:space="preserve">  </w:t>
      </w:r>
      <w:r>
        <w:rPr>
          <w:rFonts w:hint="eastAsia" w:ascii="仿宋" w:hAnsi="仿宋" w:eastAsia="仿宋" w:cs="仿宋"/>
          <w:sz w:val="32"/>
          <w:szCs w:val="32"/>
        </w:rPr>
        <w:t xml:space="preserve"> </w:t>
      </w:r>
      <w:r>
        <w:rPr>
          <w:rFonts w:hint="eastAsia" w:ascii="仿宋" w:hAnsi="仿宋" w:eastAsia="仿宋" w:cs="仿宋"/>
          <w:b/>
          <w:sz w:val="32"/>
          <w:szCs w:val="32"/>
        </w:rPr>
        <w:t>总体目标：</w:t>
      </w:r>
      <w:r>
        <w:rPr>
          <w:rFonts w:hint="eastAsia" w:ascii="仿宋" w:hAnsi="仿宋" w:eastAsia="仿宋" w:cs="仿宋"/>
          <w:sz w:val="32"/>
          <w:szCs w:val="32"/>
        </w:rPr>
        <w:t>加强急救队伍建设，对全市院前急救相关人员开展培训，以提升我市应急处置能力，全年培训人数大于100人。</w:t>
      </w:r>
    </w:p>
    <w:p>
      <w:pPr>
        <w:spacing w:beforeLines="0" w:afterLines="0" w:line="64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完成情况：</w:t>
      </w:r>
      <w:r>
        <w:rPr>
          <w:rFonts w:hint="eastAsia" w:ascii="仿宋" w:hAnsi="仿宋" w:eastAsia="仿宋" w:cs="仿宋"/>
          <w:sz w:val="32"/>
          <w:szCs w:val="32"/>
        </w:rPr>
        <w:t>2021年度，我中心利用已建立的AHA和ITLS培训基地，对我市各县（市、区）院前急救管理人员、急救出诊人员开展9期精准小班制培训班，共培训102人，完成目标。</w:t>
      </w:r>
    </w:p>
    <w:p>
      <w:pPr>
        <w:numPr>
          <w:ilvl w:val="0"/>
          <w:numId w:val="3"/>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绩效指标完成情况分析</w:t>
      </w:r>
    </w:p>
    <w:p>
      <w:pPr>
        <w:numPr>
          <w:ilvl w:val="0"/>
          <w:numId w:val="0"/>
        </w:numPr>
        <w:spacing w:beforeLines="0" w:afterLines="0" w:line="640" w:lineRule="exact"/>
        <w:rPr>
          <w:rFonts w:hint="eastAsia" w:ascii="Times New Roman" w:hAnsi="Times New Roman" w:eastAsia="Times New Roman"/>
          <w:sz w:val="32"/>
          <w:szCs w:val="32"/>
        </w:rPr>
      </w:pPr>
      <w:r>
        <w:rPr>
          <w:rFonts w:hint="eastAsia" w:ascii="Times New Roman" w:hAnsi="Times New Roman" w:eastAsia="黑体"/>
          <w:sz w:val="32"/>
          <w:szCs w:val="32"/>
        </w:rPr>
        <w:t xml:space="preserve">    1、产出指标完成情况</w:t>
      </w:r>
    </w:p>
    <w:p>
      <w:pPr>
        <w:numPr>
          <w:ilvl w:val="0"/>
          <w:numId w:val="0"/>
        </w:numPr>
        <w:spacing w:beforeLines="0" w:afterLines="0" w:line="640" w:lineRule="exact"/>
        <w:ind w:firstLine="640"/>
        <w:rPr>
          <w:rFonts w:hint="eastAsia" w:ascii="Times New Roman" w:hAnsi="Times New Roman" w:eastAsia="黑体"/>
          <w:sz w:val="32"/>
          <w:szCs w:val="32"/>
        </w:rPr>
      </w:pPr>
      <w:r>
        <w:rPr>
          <w:rFonts w:hint="eastAsia" w:ascii="Times New Roman" w:hAnsi="Times New Roman" w:eastAsia="黑体"/>
          <w:sz w:val="32"/>
          <w:szCs w:val="32"/>
        </w:rPr>
        <w:t>（1</w:t>
      </w:r>
      <w:r>
        <w:rPr>
          <w:rFonts w:hint="eastAsia" w:ascii="仿宋" w:hAnsi="仿宋" w:eastAsia="仿宋" w:cs="仿宋"/>
          <w:b/>
          <w:sz w:val="32"/>
          <w:szCs w:val="32"/>
        </w:rPr>
        <w:t>）数量指标</w:t>
      </w:r>
    </w:p>
    <w:p>
      <w:pPr>
        <w:spacing w:beforeLines="0" w:afterLines="0"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2021年度，我中心利用已建立的AHA和ITLS培训基地，对我市各县（市、区）院前急救管理人员、急救出诊人员开展9期精准小班制培训班，对成人、儿童及婴儿心肺复苏术、高效团队活动、AED除颤、球囊面罩及便携面罩使用、窒息的解除等内容进行共计8课时的系统化培训，共培训102人，完成既定大于100人的培训目标。</w:t>
      </w:r>
    </w:p>
    <w:p>
      <w:pPr>
        <w:numPr>
          <w:ilvl w:val="0"/>
          <w:numId w:val="4"/>
        </w:numPr>
        <w:spacing w:beforeLines="0" w:afterLines="0" w:line="640" w:lineRule="exact"/>
        <w:ind w:firstLine="640"/>
        <w:rPr>
          <w:rFonts w:hint="eastAsia" w:ascii="仿宋" w:hAnsi="仿宋" w:eastAsia="仿宋" w:cs="仿宋"/>
          <w:b/>
          <w:sz w:val="32"/>
          <w:szCs w:val="32"/>
        </w:rPr>
      </w:pPr>
      <w:r>
        <w:rPr>
          <w:rFonts w:hint="eastAsia" w:ascii="仿宋" w:hAnsi="仿宋" w:eastAsia="仿宋" w:cs="仿宋"/>
          <w:b/>
          <w:sz w:val="32"/>
          <w:szCs w:val="32"/>
        </w:rPr>
        <w:t>质量指标</w:t>
      </w:r>
    </w:p>
    <w:p>
      <w:pPr>
        <w:numPr>
          <w:ilvl w:val="0"/>
          <w:numId w:val="0"/>
        </w:numPr>
        <w:spacing w:beforeLines="0" w:afterLines="0" w:line="640" w:lineRule="exact"/>
        <w:ind w:firstLine="640" w:firstLineChars="200"/>
        <w:rPr>
          <w:rFonts w:hint="eastAsia" w:ascii="Times New Roman" w:hAnsi="Times New Roman" w:eastAsia="Times New Roman"/>
          <w:sz w:val="32"/>
          <w:szCs w:val="32"/>
        </w:rPr>
      </w:pPr>
      <w:r>
        <w:rPr>
          <w:rFonts w:hint="eastAsia" w:ascii="仿宋" w:hAnsi="仿宋" w:eastAsia="仿宋" w:cs="仿宋"/>
          <w:sz w:val="32"/>
          <w:szCs w:val="32"/>
        </w:rPr>
        <w:t>中心2021年全年共开展9期精准、规范化、标准培训班，所有学员经过2次技能操作考核和1次理论知识考试，方可通过培训取得证书。目前2021年度所培训的所有学员102人，通过考核102人，合格率100%，均取得由培训中心颁发的学员证书。</w:t>
      </w:r>
    </w:p>
    <w:p>
      <w:pPr>
        <w:spacing w:beforeLines="0" w:afterLines="0" w:line="64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（3）时效指标</w:t>
      </w:r>
    </w:p>
    <w:p>
      <w:pPr>
        <w:spacing w:beforeLines="0" w:afterLines="0" w:line="64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 xml:space="preserve"> </w:t>
      </w:r>
      <w:r>
        <w:rPr>
          <w:rFonts w:hint="eastAsia" w:ascii="仿宋" w:hAnsi="仿宋" w:eastAsia="仿宋" w:cs="仿宋"/>
          <w:sz w:val="32"/>
          <w:szCs w:val="32"/>
        </w:rPr>
        <w:t>通过培训</w:t>
      </w:r>
      <w:r>
        <w:rPr>
          <w:rFonts w:hint="eastAsia" w:ascii="仿宋" w:hAnsi="仿宋" w:eastAsia="仿宋" w:cs="仿宋"/>
          <w:sz w:val="32"/>
          <w:szCs w:val="32"/>
          <w:lang w:val="en-US" w:eastAsia="zh-CN"/>
        </w:rPr>
        <w:t>及呼救位置定位，</w:t>
      </w:r>
      <w:r>
        <w:rPr>
          <w:rFonts w:hint="eastAsia" w:ascii="仿宋" w:hAnsi="仿宋" w:eastAsia="仿宋" w:cs="仿宋"/>
          <w:sz w:val="32"/>
          <w:szCs w:val="32"/>
        </w:rPr>
        <w:t>有效提高了我市院前急救人员的应急反应能力，尤其是在院前医疗急救时间上更是持续缩短，目前平均院前急救院内反应时间</w:t>
      </w:r>
      <w:r>
        <w:rPr>
          <w:rFonts w:hint="eastAsia" w:ascii="仿宋" w:hAnsi="仿宋" w:eastAsia="仿宋" w:cs="仿宋"/>
          <w:color w:val="auto"/>
          <w:sz w:val="32"/>
          <w:szCs w:val="32"/>
        </w:rPr>
        <w:t>102秒</w:t>
      </w:r>
      <w:r>
        <w:rPr>
          <w:rFonts w:hint="eastAsia" w:ascii="仿宋" w:hAnsi="仿宋" w:eastAsia="仿宋" w:cs="仿宋"/>
          <w:sz w:val="32"/>
          <w:szCs w:val="32"/>
        </w:rPr>
        <w:t>，较前缩短了9秒。全年更是通过院前电话急救指导，院前急救人员密切配合、无缝衔接，创造了11个生命的奇迹，其中7例通过心肺复苏至病人恢复循环，4例在家中成功分娩。</w:t>
      </w:r>
    </w:p>
    <w:p>
      <w:pPr>
        <w:numPr>
          <w:ilvl w:val="0"/>
          <w:numId w:val="0"/>
        </w:numPr>
        <w:spacing w:beforeLines="0" w:afterLines="0" w:line="640" w:lineRule="exact"/>
        <w:ind w:left="640"/>
        <w:rPr>
          <w:rFonts w:hint="eastAsia" w:ascii="仿宋" w:hAnsi="仿宋" w:eastAsia="仿宋" w:cs="仿宋"/>
          <w:b/>
          <w:sz w:val="32"/>
          <w:szCs w:val="32"/>
        </w:rPr>
      </w:pPr>
      <w:r>
        <w:rPr>
          <w:rFonts w:hint="eastAsia" w:ascii="仿宋" w:hAnsi="仿宋" w:eastAsia="仿宋" w:cs="仿宋"/>
          <w:b/>
          <w:sz w:val="32"/>
          <w:szCs w:val="32"/>
        </w:rPr>
        <w:t>（4）成本指标</w:t>
      </w:r>
    </w:p>
    <w:p>
      <w:pPr>
        <w:spacing w:beforeLines="0" w:afterLines="0"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针对培训项目，中心培训聘请培训主任导师、购买培训所需成人及婴儿模拟人、培训教材、便携面罩等费用，人均培训成本1000元/人。</w:t>
      </w:r>
    </w:p>
    <w:p>
      <w:pPr>
        <w:numPr>
          <w:ilvl w:val="0"/>
          <w:numId w:val="5"/>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效益指标完成情况</w:t>
      </w:r>
    </w:p>
    <w:p>
      <w:pPr>
        <w:numPr>
          <w:ilvl w:val="0"/>
          <w:numId w:val="6"/>
        </w:numPr>
        <w:spacing w:beforeLines="0" w:afterLines="0" w:line="640" w:lineRule="exact"/>
        <w:ind w:left="420"/>
        <w:rPr>
          <w:rFonts w:hint="eastAsia" w:ascii="Times New Roman" w:hAnsi="Times New Roman" w:eastAsia="黑体"/>
          <w:sz w:val="32"/>
          <w:szCs w:val="32"/>
        </w:rPr>
      </w:pPr>
      <w:r>
        <w:rPr>
          <w:rFonts w:hint="eastAsia" w:ascii="Times New Roman" w:hAnsi="Times New Roman" w:eastAsia="黑体"/>
          <w:sz w:val="32"/>
          <w:szCs w:val="32"/>
        </w:rPr>
        <w:t>社会效益指标</w:t>
      </w:r>
    </w:p>
    <w:p>
      <w:pPr>
        <w:numPr>
          <w:ilvl w:val="0"/>
          <w:numId w:val="0"/>
        </w:numPr>
        <w:spacing w:beforeLines="0" w:afterLines="0" w:line="640" w:lineRule="exact"/>
        <w:rPr>
          <w:rFonts w:hint="eastAsia" w:ascii="仿宋" w:hAnsi="仿宋" w:eastAsia="仿宋" w:cs="仿宋"/>
          <w:sz w:val="32"/>
          <w:szCs w:val="32"/>
        </w:rPr>
      </w:pPr>
      <w:r>
        <w:rPr>
          <w:rFonts w:hint="eastAsia" w:ascii="Times New Roman" w:hAnsi="Times New Roman" w:eastAsia="黑体"/>
          <w:sz w:val="32"/>
          <w:szCs w:val="32"/>
        </w:rPr>
        <w:t xml:space="preserve">    </w:t>
      </w:r>
      <w:r>
        <w:rPr>
          <w:rFonts w:hint="eastAsia" w:ascii="仿宋" w:hAnsi="仿宋" w:eastAsia="仿宋" w:cs="仿宋"/>
          <w:sz w:val="32"/>
          <w:szCs w:val="32"/>
        </w:rPr>
        <w:t xml:space="preserve">三门峡市120急救指挥中心通过电话回访和短信回访的方式，对全市1027例例院前急救病人及家属进行满意度回访，总体满意度99.87%，其中调度员的满意度100%，出诊速度满意率99.9%，出诊医生服务态度99.71%，出诊护士服务态度99.71%，出诊司机服务态度100% ，其中被提名表扬520警次。   </w:t>
      </w:r>
    </w:p>
    <w:p>
      <w:pPr>
        <w:numPr>
          <w:ilvl w:val="0"/>
          <w:numId w:val="6"/>
        </w:numPr>
        <w:spacing w:beforeLines="0" w:afterLines="0" w:line="640" w:lineRule="exact"/>
        <w:ind w:left="420"/>
        <w:rPr>
          <w:rFonts w:hint="eastAsia" w:ascii="Times New Roman" w:hAnsi="Times New Roman" w:eastAsia="黑体"/>
          <w:sz w:val="32"/>
          <w:szCs w:val="32"/>
        </w:rPr>
      </w:pPr>
      <w:r>
        <w:rPr>
          <w:rFonts w:hint="eastAsia" w:ascii="Times New Roman" w:hAnsi="Times New Roman" w:eastAsia="黑体"/>
          <w:sz w:val="32"/>
          <w:szCs w:val="32"/>
        </w:rPr>
        <w:t>可持续影响指标</w:t>
      </w:r>
    </w:p>
    <w:p>
      <w:pPr>
        <w:numPr>
          <w:ilvl w:val="0"/>
          <w:numId w:val="0"/>
        </w:numPr>
        <w:spacing w:beforeLines="0" w:afterLines="0"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三门峡市120急救指挥中心全年共处置急危重症病人33517例，其中心电监护处置率为98.98%，血糖监测处置率为99.66%，心电图检查处置率为99.93%，吸氧处置率为99.06%，颈托处置率为86.24% 。</w:t>
      </w:r>
    </w:p>
    <w:p>
      <w:pPr>
        <w:numPr>
          <w:ilvl w:val="0"/>
          <w:numId w:val="6"/>
        </w:numPr>
        <w:spacing w:beforeLines="0" w:afterLines="0" w:line="640" w:lineRule="exact"/>
        <w:ind w:left="420"/>
        <w:rPr>
          <w:rFonts w:hint="eastAsia" w:ascii="Times New Roman" w:hAnsi="Times New Roman" w:eastAsia="黑体"/>
          <w:sz w:val="32"/>
          <w:szCs w:val="32"/>
        </w:rPr>
      </w:pPr>
      <w:r>
        <w:rPr>
          <w:rFonts w:hint="eastAsia" w:ascii="Times New Roman" w:hAnsi="Times New Roman" w:eastAsia="黑体"/>
          <w:sz w:val="32"/>
          <w:szCs w:val="32"/>
        </w:rPr>
        <w:t>经济效益和生态指标无。</w:t>
      </w:r>
    </w:p>
    <w:p>
      <w:pPr>
        <w:numPr>
          <w:ilvl w:val="0"/>
          <w:numId w:val="5"/>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满意度指标完成情况分析</w:t>
      </w:r>
    </w:p>
    <w:p>
      <w:pPr>
        <w:spacing w:beforeLines="0" w:afterLines="0"/>
        <w:ind w:firstLine="640" w:firstLineChars="200"/>
        <w:jc w:val="left"/>
        <w:rPr>
          <w:rFonts w:hint="eastAsia" w:ascii="Times New Roman" w:hAnsi="Times New Roman" w:eastAsia="Times New Roman"/>
          <w:sz w:val="32"/>
          <w:szCs w:val="32"/>
        </w:rPr>
      </w:pPr>
      <w:r>
        <w:rPr>
          <w:rFonts w:hint="eastAsia" w:ascii="仿宋" w:hAnsi="仿宋" w:eastAsia="仿宋" w:cs="仿宋"/>
          <w:sz w:val="32"/>
          <w:szCs w:val="32"/>
        </w:rPr>
        <w:t>三门峡市120急救指挥中心 2021年全年开展了9期102人BLS培训班，参培人员对培训的满意度为100%。</w:t>
      </w:r>
    </w:p>
    <w:p>
      <w:pPr>
        <w:spacing w:beforeLines="0" w:afterLines="0" w:line="6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三、偏离绩效目标原因和下一步改进措施</w:t>
      </w:r>
    </w:p>
    <w:p>
      <w:pPr>
        <w:spacing w:beforeLines="0" w:afterLines="0"/>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中心按照总体目标有序推进各项培训工作，圆满完成指标，未偏离绩效目标。</w:t>
      </w:r>
    </w:p>
    <w:p>
      <w:pPr>
        <w:spacing w:beforeLines="0" w:afterLines="0" w:line="640" w:lineRule="exact"/>
        <w:ind w:firstLine="640" w:firstLineChars="200"/>
        <w:rPr>
          <w:rFonts w:hint="eastAsia" w:ascii="Times New Roman" w:hAnsi="Times New Roman" w:eastAsia="Times New Roman"/>
          <w:sz w:val="32"/>
          <w:szCs w:val="32"/>
        </w:rPr>
      </w:pPr>
      <w:r>
        <w:rPr>
          <w:rFonts w:hint="eastAsia" w:ascii="Times New Roman" w:hAnsi="Times New Roman" w:eastAsia="黑体"/>
          <w:sz w:val="32"/>
          <w:szCs w:val="32"/>
        </w:rPr>
        <w:t>四、结论</w:t>
      </w:r>
    </w:p>
    <w:p>
      <w:pPr>
        <w:spacing w:beforeLines="0" w:afterLines="0"/>
        <w:ind w:firstLine="640" w:firstLineChars="200"/>
        <w:jc w:val="left"/>
        <w:rPr>
          <w:rFonts w:hint="eastAsia" w:ascii="仿宋" w:hAnsi="仿宋" w:eastAsia="仿宋" w:cs="仿宋"/>
          <w:sz w:val="32"/>
          <w:szCs w:val="32"/>
        </w:rPr>
      </w:pPr>
      <w:r>
        <w:rPr>
          <w:rFonts w:hint="eastAsia" w:ascii="仿宋" w:hAnsi="仿宋" w:eastAsia="仿宋" w:cs="仿宋"/>
          <w:sz w:val="32"/>
          <w:szCs w:val="32"/>
        </w:rPr>
        <w:t>院前急救人员培训工作对我市应急队伍的建设至关重要，我市尤其市乡镇缺少培训，急救人员院前急救水平层次不齐，有的虽配置有心电监护除颤仪、麻醉喉镜、气管插管箱，却因急救人员不会操作，致使重要抢救设备设施形同虚设。建立专业、规范、系统的培训，通过一对一小班制、理论与实操相结合的培训，避免了“大锅烩”的混乱模式，让每位急救人员真真正正的掌握院前急救技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同时结合呼救位置定位的使用，对呼救者位置明确区域及大体方位，让调度员可以快速、高效、规范化的处警并下发派车单，平均派车时长80秒，缩短了39秒。</w:t>
      </w:r>
      <w:bookmarkStart w:id="0" w:name="_GoBack"/>
      <w:bookmarkEnd w:id="0"/>
      <w:r>
        <w:rPr>
          <w:rFonts w:hint="eastAsia" w:ascii="仿宋" w:hAnsi="仿宋" w:eastAsia="仿宋" w:cs="仿宋"/>
          <w:sz w:val="32"/>
          <w:szCs w:val="32"/>
          <w:lang w:val="en-US" w:eastAsia="zh-CN"/>
        </w:rPr>
        <w:t>这一系列的措施，不仅</w:t>
      </w:r>
      <w:r>
        <w:rPr>
          <w:rFonts w:hint="eastAsia" w:ascii="仿宋" w:hAnsi="仿宋" w:eastAsia="仿宋" w:cs="仿宋"/>
          <w:sz w:val="32"/>
          <w:szCs w:val="32"/>
        </w:rPr>
        <w:t>加强了三门峡市院前急救能力建设，</w:t>
      </w:r>
      <w:r>
        <w:rPr>
          <w:rFonts w:hint="eastAsia" w:ascii="仿宋" w:hAnsi="仿宋" w:eastAsia="仿宋" w:cs="仿宋"/>
          <w:sz w:val="32"/>
          <w:szCs w:val="32"/>
          <w:lang w:val="en-US" w:eastAsia="zh-CN"/>
        </w:rPr>
        <w:t>更是</w:t>
      </w:r>
      <w:r>
        <w:rPr>
          <w:rFonts w:hint="eastAsia" w:ascii="仿宋" w:hAnsi="仿宋" w:eastAsia="仿宋" w:cs="仿宋"/>
          <w:sz w:val="32"/>
          <w:szCs w:val="32"/>
        </w:rPr>
        <w:t>有效提高</w:t>
      </w:r>
      <w:r>
        <w:rPr>
          <w:rFonts w:hint="eastAsia" w:ascii="仿宋" w:hAnsi="仿宋" w:eastAsia="仿宋" w:cs="仿宋"/>
          <w:sz w:val="32"/>
          <w:szCs w:val="32"/>
          <w:lang w:val="en-US" w:eastAsia="zh-CN"/>
        </w:rPr>
        <w:t>我市</w:t>
      </w:r>
      <w:r>
        <w:rPr>
          <w:rFonts w:hint="eastAsia" w:ascii="仿宋" w:hAnsi="仿宋" w:eastAsia="仿宋" w:cs="仿宋"/>
          <w:sz w:val="32"/>
          <w:szCs w:val="32"/>
        </w:rPr>
        <w:t>应急反应能力，百姓对院前急救服务的满意度持续提高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在电话回访和短信回访的满意度测评中，总体满意率高达99.87%，被提名表扬520警次</w:t>
      </w:r>
      <w:r>
        <w:rPr>
          <w:rFonts w:hint="eastAsia" w:ascii="仿宋" w:hAnsi="仿宋" w:eastAsia="仿宋" w:cs="仿宋"/>
          <w:sz w:val="32"/>
          <w:szCs w:val="32"/>
        </w:rPr>
        <w:t>。</w:t>
      </w:r>
    </w:p>
    <w:p>
      <w:pPr>
        <w:spacing w:beforeLines="0" w:afterLines="0" w:line="640" w:lineRule="exact"/>
        <w:ind w:firstLine="640" w:firstLineChars="200"/>
        <w:rPr>
          <w:rFonts w:hint="eastAsia" w:ascii="Times New Roman" w:hAnsi="Times New Roman" w:eastAsia="Times New Roman"/>
          <w:sz w:val="32"/>
          <w:szCs w:val="32"/>
        </w:rPr>
      </w:pPr>
      <w:r>
        <w:rPr>
          <w:rFonts w:hint="eastAsia" w:ascii="Times New Roman" w:hAnsi="Times New Roman" w:eastAsia="黑体"/>
          <w:sz w:val="32"/>
          <w:szCs w:val="32"/>
        </w:rPr>
        <w:t>五、其他</w:t>
      </w:r>
    </w:p>
    <w:p>
      <w:pPr>
        <w:spacing w:beforeLines="0" w:afterLines="0"/>
        <w:rPr>
          <w:rFonts w:hint="default"/>
          <w:sz w:val="21"/>
          <w:szCs w:val="22"/>
        </w:rPr>
      </w:pPr>
      <w:r>
        <w:rPr>
          <w:rFonts w:hint="eastAsia"/>
          <w:sz w:val="21"/>
          <w:szCs w:val="22"/>
        </w:rPr>
        <w:t xml:space="preserve">  </w:t>
      </w:r>
      <w:r>
        <w:rPr>
          <w:rFonts w:hint="eastAsia" w:ascii="仿宋" w:hAnsi="仿宋" w:eastAsia="仿宋" w:cs="仿宋"/>
          <w:sz w:val="32"/>
          <w:szCs w:val="32"/>
        </w:rPr>
        <w:t xml:space="preserve">  因中心经费紧张，院前急救人员培训工作开展迟滞，尤其是ACLS高级生命支持的培训，因缺少智能培训专用模拟人等培训教具，迟迟无法开展，影响院前急救人员全方位技能培训。</w:t>
      </w:r>
    </w:p>
    <w:p/>
    <w:sectPr>
      <w:footerReference r:id="rId4" w:type="default"/>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Lines="0" w:afterLines="0"/>
      <w:jc w:val="right"/>
      <w:rPr>
        <w:rFonts w:hint="default"/>
        <w:sz w:val="18"/>
        <w:szCs w:val="18"/>
      </w:rPr>
    </w:pPr>
    <w:r>
      <w:rPr>
        <w:rFonts w:hint="default"/>
        <w:sz w:val="18"/>
        <w:szCs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2"/>
                            <w:spacing w:beforeLines="0" w:afterLines="0"/>
                            <w:rPr>
                              <w:rFonts w:hint="default"/>
                              <w:sz w:val="18"/>
                              <w:szCs w:val="18"/>
                            </w:rPr>
                          </w:pPr>
                          <w:r>
                            <w:rPr>
                              <w:rFonts w:hint="default"/>
                              <w:sz w:val="18"/>
                              <w:szCs w:val="18"/>
                            </w:rPr>
                            <w:t>—</w:t>
                          </w:r>
                          <w:r>
                            <w:rPr>
                              <w:rFonts w:hint="default"/>
                              <w:sz w:val="28"/>
                              <w:szCs w:val="28"/>
                            </w:rPr>
                            <w:t xml:space="preserve"> </w:t>
                          </w:r>
                          <w:r>
                            <w:rPr>
                              <w:rFonts w:hint="default"/>
                              <w:sz w:val="28"/>
                              <w:szCs w:val="28"/>
                            </w:rPr>
                            <w:fldChar w:fldCharType="begin"/>
                          </w:r>
                          <w:r>
                            <w:rPr>
                              <w:rFonts w:hint="default"/>
                              <w:sz w:val="28"/>
                              <w:szCs w:val="28"/>
                            </w:rPr>
                            <w:instrText xml:space="preserve"> PAGE  \* MERGEFORMAT </w:instrText>
                          </w:r>
                          <w:r>
                            <w:rPr>
                              <w:rFonts w:hint="default"/>
                              <w:sz w:val="28"/>
                              <w:szCs w:val="28"/>
                            </w:rPr>
                            <w:fldChar w:fldCharType="separate"/>
                          </w:r>
                          <w:r>
                            <w:rPr>
                              <w:rFonts w:hint="default"/>
                              <w:sz w:val="28"/>
                              <w:szCs w:val="28"/>
                            </w:rPr>
                            <w:t>- 1 -</w:t>
                          </w:r>
                          <w:r>
                            <w:rPr>
                              <w:rFonts w:hint="default"/>
                              <w:sz w:val="28"/>
                              <w:szCs w:val="28"/>
                            </w:rPr>
                            <w:fldChar w:fldCharType="end"/>
                          </w:r>
                          <w:r>
                            <w:rPr>
                              <w:rFonts w:hint="default"/>
                              <w:sz w:val="18"/>
                              <w:szCs w:val="18"/>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2"/>
                      <w:spacing w:beforeLines="0" w:afterLines="0"/>
                      <w:rPr>
                        <w:rFonts w:hint="default"/>
                        <w:sz w:val="18"/>
                        <w:szCs w:val="18"/>
                      </w:rPr>
                    </w:pPr>
                    <w:r>
                      <w:rPr>
                        <w:rFonts w:hint="default"/>
                        <w:sz w:val="18"/>
                        <w:szCs w:val="18"/>
                      </w:rPr>
                      <w:t>—</w:t>
                    </w:r>
                    <w:r>
                      <w:rPr>
                        <w:rFonts w:hint="default"/>
                        <w:sz w:val="28"/>
                        <w:szCs w:val="28"/>
                      </w:rPr>
                      <w:t xml:space="preserve"> </w:t>
                    </w:r>
                    <w:r>
                      <w:rPr>
                        <w:rFonts w:hint="default"/>
                        <w:sz w:val="28"/>
                        <w:szCs w:val="28"/>
                      </w:rPr>
                      <w:fldChar w:fldCharType="begin"/>
                    </w:r>
                    <w:r>
                      <w:rPr>
                        <w:rFonts w:hint="default"/>
                        <w:sz w:val="28"/>
                        <w:szCs w:val="28"/>
                      </w:rPr>
                      <w:instrText xml:space="preserve"> PAGE  \* MERGEFORMAT </w:instrText>
                    </w:r>
                    <w:r>
                      <w:rPr>
                        <w:rFonts w:hint="default"/>
                        <w:sz w:val="28"/>
                        <w:szCs w:val="28"/>
                      </w:rPr>
                      <w:fldChar w:fldCharType="separate"/>
                    </w:r>
                    <w:r>
                      <w:rPr>
                        <w:rFonts w:hint="default"/>
                        <w:sz w:val="28"/>
                        <w:szCs w:val="28"/>
                      </w:rPr>
                      <w:t>- 1 -</w:t>
                    </w:r>
                    <w:r>
                      <w:rPr>
                        <w:rFonts w:hint="default"/>
                        <w:sz w:val="28"/>
                        <w:szCs w:val="28"/>
                      </w:rPr>
                      <w:fldChar w:fldCharType="end"/>
                    </w:r>
                    <w:r>
                      <w:rPr>
                        <w:rFonts w:hint="default"/>
                        <w:sz w:val="18"/>
                        <w:szCs w:val="18"/>
                      </w:rPr>
                      <w:t xml:space="preserve"> —</w:t>
                    </w:r>
                  </w:p>
                </w:txbxContent>
              </v:textbox>
            </v:shape>
          </w:pict>
        </mc:Fallback>
      </mc:AlternateContent>
    </w:r>
  </w:p>
  <w:p>
    <w:pPr>
      <w:pStyle w:val="2"/>
      <w:spacing w:beforeLines="0" w:afterLines="0"/>
      <w:rPr>
        <w:rFonts w:hint="default"/>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5D85A"/>
    <w:multiLevelType w:val="multilevel"/>
    <w:tmpl w:val="8195D85A"/>
    <w:lvl w:ilvl="0" w:tentative="0">
      <w:start w:val="3"/>
      <w:numFmt w:val="chineseCounting"/>
      <w:lvlText w:val="（%1)"/>
      <w:lvlJc w:val="left"/>
      <w:pPr>
        <w:tabs>
          <w:tab w:val="left" w:pos="312"/>
        </w:tabs>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8E534620"/>
    <w:multiLevelType w:val="multilevel"/>
    <w:tmpl w:val="8E534620"/>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BDA15F9B"/>
    <w:multiLevelType w:val="multilevel"/>
    <w:tmpl w:val="BDA15F9B"/>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F40100FB"/>
    <w:multiLevelType w:val="multilevel"/>
    <w:tmpl w:val="F40100FB"/>
    <w:lvl w:ilvl="0" w:tentative="0">
      <w:start w:val="1"/>
      <w:numFmt w:val="chineseCounting"/>
      <w:suff w:val="nothing"/>
      <w:lvlText w:val="（%1）"/>
      <w:lvlJc w:val="left"/>
      <w:pPr>
        <w:ind w:left="420"/>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4">
    <w:nsid w:val="4B5616DA"/>
    <w:multiLevelType w:val="multilevel"/>
    <w:tmpl w:val="4B5616DA"/>
    <w:lvl w:ilvl="0" w:tentative="0">
      <w:start w:val="1"/>
      <w:numFmt w:val="decimal"/>
      <w:suff w:val="nothing"/>
      <w:lvlText w:val="（%1）"/>
      <w:lvlJc w:val="left"/>
      <w:pPr>
        <w:ind w:left="-60"/>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5">
    <w:nsid w:val="78E0185D"/>
    <w:multiLevelType w:val="multilevel"/>
    <w:tmpl w:val="78E0185D"/>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114B0"/>
    <w:rsid w:val="22F11DA5"/>
    <w:rsid w:val="6BC91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beforeLines="0" w:afterLines="0"/>
      <w:jc w:val="left"/>
    </w:pPr>
    <w:rPr>
      <w:rFonts w:hint="default"/>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2022-03-11T08:09:00Z</dcterms:created>
  <dc:creator>FF</dc:creator>
  <cp:lastModifiedBy>陌沫</cp:lastModifiedBy>
  <cp:lastPrinted>2022-03-11T09:25:30Z</cp:lastPrinted>
  <dcterms:modified xsi:type="dcterms:W3CDTF">2022-03-11T09:26:56Z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DDBEF5CB24644EEA93219FE825971F67</vt:lpwstr>
  </property>
</Properties>
</file>